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3AB4" w:rsidRPr="004520E4" w:rsidRDefault="00A23AB4" w:rsidP="004520E4">
      <w:pPr>
        <w:pStyle w:val="a7"/>
        <w:spacing w:line="240" w:lineRule="exact"/>
        <w:jc w:val="left"/>
        <w:rPr>
          <w:rFonts w:ascii="微软雅黑" w:eastAsia="微软雅黑" w:hAnsi="微软雅黑" w:cs="宋体"/>
          <w:b/>
          <w:color w:val="7030A0"/>
          <w:sz w:val="22"/>
          <w:szCs w:val="22"/>
        </w:rPr>
      </w:pPr>
    </w:p>
    <w:p w:rsidR="00FF67A1" w:rsidRPr="00A23AB4" w:rsidRDefault="00FF67A1" w:rsidP="00A23AB4">
      <w:pPr>
        <w:pStyle w:val="a7"/>
        <w:spacing w:line="500" w:lineRule="exact"/>
        <w:jc w:val="center"/>
        <w:rPr>
          <w:rFonts w:ascii="微软雅黑" w:eastAsia="微软雅黑" w:hAnsi="微软雅黑" w:cs="宋体"/>
          <w:b/>
          <w:color w:val="7030A0"/>
          <w:sz w:val="40"/>
          <w:szCs w:val="40"/>
        </w:rPr>
      </w:pPr>
      <w:r w:rsidRPr="00A23AB4">
        <w:rPr>
          <w:rFonts w:ascii="微软雅黑" w:eastAsia="微软雅黑" w:hAnsi="微软雅黑" w:cs="宋体" w:hint="eastAsia"/>
          <w:b/>
          <w:color w:val="7030A0"/>
          <w:sz w:val="40"/>
          <w:szCs w:val="40"/>
        </w:rPr>
        <w:t>最高人民法院关于诉讼代理人查阅民事案件材料的规定</w:t>
      </w:r>
    </w:p>
    <w:p w:rsidR="00FF67A1" w:rsidRDefault="00FF67A1" w:rsidP="00A23AB4">
      <w:pPr>
        <w:pStyle w:val="a7"/>
        <w:spacing w:line="240" w:lineRule="exact"/>
        <w:jc w:val="center"/>
        <w:rPr>
          <w:rFonts w:ascii="微软雅黑" w:eastAsia="微软雅黑" w:hAnsi="微软雅黑" w:cs="宋体"/>
          <w:sz w:val="22"/>
          <w:szCs w:val="22"/>
        </w:rPr>
      </w:pPr>
    </w:p>
    <w:p w:rsidR="004520E4" w:rsidRDefault="004520E4" w:rsidP="00A23AB4">
      <w:pPr>
        <w:pStyle w:val="a7"/>
        <w:spacing w:line="240" w:lineRule="exact"/>
        <w:jc w:val="center"/>
        <w:rPr>
          <w:rFonts w:ascii="微软雅黑" w:eastAsia="微软雅黑" w:hAnsi="微软雅黑" w:cs="宋体"/>
          <w:sz w:val="22"/>
          <w:szCs w:val="22"/>
        </w:rPr>
      </w:pPr>
      <w:r>
        <w:rPr>
          <w:rFonts w:ascii="微软雅黑" w:eastAsia="微软雅黑" w:hAnsi="微软雅黑" w:cs="宋体" w:hint="eastAsia"/>
          <w:sz w:val="22"/>
          <w:szCs w:val="22"/>
        </w:rPr>
        <w:t>2021-01-01</w:t>
      </w:r>
    </w:p>
    <w:p w:rsidR="004520E4" w:rsidRDefault="004520E4" w:rsidP="00A23AB4">
      <w:pPr>
        <w:pStyle w:val="a7"/>
        <w:spacing w:line="240" w:lineRule="exact"/>
        <w:jc w:val="center"/>
        <w:rPr>
          <w:rFonts w:ascii="微软雅黑" w:eastAsia="微软雅黑" w:hAnsi="微软雅黑" w:cs="宋体"/>
          <w:sz w:val="22"/>
          <w:szCs w:val="22"/>
        </w:rPr>
      </w:pPr>
    </w:p>
    <w:p w:rsidR="00B617C7" w:rsidRDefault="00B617C7" w:rsidP="00A23AB4">
      <w:pPr>
        <w:pStyle w:val="a7"/>
        <w:spacing w:line="240" w:lineRule="exact"/>
        <w:jc w:val="center"/>
        <w:rPr>
          <w:rFonts w:ascii="微软雅黑" w:eastAsia="微软雅黑" w:hAnsi="微软雅黑" w:cs="宋体"/>
          <w:sz w:val="22"/>
          <w:szCs w:val="22"/>
        </w:rPr>
      </w:pPr>
      <w:r w:rsidRPr="00B617C7">
        <w:rPr>
          <w:rFonts w:ascii="微软雅黑" w:eastAsia="微软雅黑" w:hAnsi="微软雅黑" w:cs="宋体" w:hint="eastAsia"/>
          <w:sz w:val="22"/>
          <w:szCs w:val="22"/>
        </w:rPr>
        <w:t>法释〔2020〕20号 - 10</w:t>
      </w:r>
    </w:p>
    <w:p w:rsidR="00B617C7" w:rsidRPr="00B617C7" w:rsidRDefault="00B617C7" w:rsidP="00A23AB4">
      <w:pPr>
        <w:pStyle w:val="a7"/>
        <w:spacing w:line="240" w:lineRule="exact"/>
        <w:jc w:val="center"/>
        <w:rPr>
          <w:rFonts w:ascii="微软雅黑" w:eastAsia="微软雅黑" w:hAnsi="微软雅黑" w:cs="宋体" w:hint="eastAsia"/>
          <w:sz w:val="22"/>
          <w:szCs w:val="22"/>
        </w:rPr>
      </w:pPr>
    </w:p>
    <w:p w:rsidR="00FF67A1" w:rsidRPr="00A23AB4" w:rsidRDefault="00FF67A1" w:rsidP="004520E4">
      <w:pPr>
        <w:pStyle w:val="a7"/>
        <w:spacing w:line="240" w:lineRule="exact"/>
        <w:ind w:leftChars="200" w:left="420" w:rightChars="200" w:right="420" w:firstLineChars="200" w:firstLine="420"/>
        <w:jc w:val="left"/>
        <w:rPr>
          <w:rFonts w:ascii="微软雅黑" w:eastAsia="微软雅黑" w:hAnsi="微软雅黑" w:cs="宋体"/>
        </w:rPr>
      </w:pPr>
      <w:r w:rsidRPr="00A23AB4">
        <w:rPr>
          <w:rFonts w:ascii="微软雅黑" w:eastAsia="微软雅黑" w:hAnsi="微软雅黑" w:cs="宋体" w:hint="eastAsia"/>
        </w:rPr>
        <w:t>（2002年11月4日最高人民法院审判委员会第1254次会议通过，根据2020年12月23日最高人民法院审判委员会第1823次会议通过的《最高人民法院关于修改〈最高人民法院关于人民法院民事调解工作若干问题的规定〉等十九件民事诉讼类司法解释的决定》修正）</w:t>
      </w:r>
    </w:p>
    <w:p w:rsidR="00FF67A1" w:rsidRPr="004520E4" w:rsidRDefault="00FF67A1" w:rsidP="00B617C7">
      <w:pPr>
        <w:pStyle w:val="a7"/>
        <w:spacing w:line="200" w:lineRule="exact"/>
        <w:rPr>
          <w:rFonts w:ascii="微软雅黑" w:eastAsia="微软雅黑" w:hAnsi="微软雅黑" w:cs="宋体"/>
          <w:sz w:val="24"/>
          <w:szCs w:val="24"/>
        </w:rPr>
      </w:pPr>
    </w:p>
    <w:p w:rsidR="00FF67A1" w:rsidRPr="004520E4" w:rsidRDefault="00FF67A1" w:rsidP="00A23AB4">
      <w:pPr>
        <w:pStyle w:val="a7"/>
        <w:spacing w:line="400" w:lineRule="exact"/>
        <w:ind w:firstLineChars="200" w:firstLine="480"/>
        <w:rPr>
          <w:rFonts w:ascii="微软雅黑" w:eastAsia="微软雅黑" w:hAnsi="微软雅黑" w:cs="宋体"/>
          <w:sz w:val="24"/>
          <w:szCs w:val="24"/>
        </w:rPr>
      </w:pPr>
      <w:r w:rsidRPr="004520E4">
        <w:rPr>
          <w:rFonts w:ascii="微软雅黑" w:eastAsia="微软雅黑" w:hAnsi="微软雅黑" w:cs="宋体" w:hint="eastAsia"/>
          <w:sz w:val="24"/>
          <w:szCs w:val="24"/>
        </w:rPr>
        <w:t>为保障代理民事诉讼的律师和其他诉讼代理人依法行使查阅所代理案件有关材料的权利，保证诉讼活动的顺利进行，根据《中华人民共和国民事诉讼法》第六十一条的规定，现对诉讼代理人查阅代理案件有关材料的范围和办法作如下规定：</w:t>
      </w:r>
    </w:p>
    <w:p w:rsidR="00FF67A1" w:rsidRPr="004520E4" w:rsidRDefault="00FF67A1" w:rsidP="00A23AB4">
      <w:pPr>
        <w:pStyle w:val="a7"/>
        <w:spacing w:line="400" w:lineRule="exact"/>
        <w:ind w:firstLineChars="200" w:firstLine="480"/>
        <w:rPr>
          <w:rFonts w:ascii="微软雅黑" w:eastAsia="微软雅黑" w:hAnsi="微软雅黑" w:cs="宋体"/>
          <w:color w:val="C00000"/>
          <w:sz w:val="24"/>
          <w:szCs w:val="24"/>
        </w:rPr>
      </w:pPr>
      <w:r w:rsidRPr="004520E4">
        <w:rPr>
          <w:rFonts w:ascii="微软雅黑" w:eastAsia="微软雅黑" w:hAnsi="微软雅黑" w:cs="宋体" w:hint="eastAsia"/>
          <w:b/>
          <w:color w:val="C00000"/>
          <w:sz w:val="24"/>
          <w:szCs w:val="24"/>
        </w:rPr>
        <w:t>第一条</w:t>
      </w:r>
      <w:r w:rsidRPr="004520E4">
        <w:rPr>
          <w:rFonts w:ascii="微软雅黑" w:eastAsia="微软雅黑" w:hAnsi="微软雅黑" w:cs="宋体"/>
          <w:color w:val="C00000"/>
          <w:sz w:val="24"/>
          <w:szCs w:val="24"/>
        </w:rPr>
        <w:t xml:space="preserve">　</w:t>
      </w:r>
      <w:r w:rsidRPr="004520E4">
        <w:rPr>
          <w:rFonts w:ascii="微软雅黑" w:eastAsia="微软雅黑" w:hAnsi="微软雅黑" w:cs="宋体" w:hint="eastAsia"/>
          <w:color w:val="C00000"/>
          <w:sz w:val="24"/>
          <w:szCs w:val="24"/>
        </w:rPr>
        <w:t>代理民事诉讼的律师和其他诉讼代理人有权查阅所代理案件的有关材料。但是，诉讼代理人查阅案件材料不得影响案件的审理。</w:t>
      </w:r>
    </w:p>
    <w:p w:rsidR="00FF67A1" w:rsidRPr="004520E4" w:rsidRDefault="00FF67A1" w:rsidP="00A23AB4">
      <w:pPr>
        <w:pStyle w:val="a7"/>
        <w:spacing w:line="400" w:lineRule="exact"/>
        <w:ind w:firstLineChars="200" w:firstLine="480"/>
        <w:rPr>
          <w:rFonts w:ascii="微软雅黑" w:eastAsia="微软雅黑" w:hAnsi="微软雅黑" w:cs="宋体"/>
          <w:sz w:val="24"/>
          <w:szCs w:val="24"/>
        </w:rPr>
      </w:pPr>
      <w:r w:rsidRPr="004520E4">
        <w:rPr>
          <w:rFonts w:ascii="微软雅黑" w:eastAsia="微软雅黑" w:hAnsi="微软雅黑" w:cs="宋体" w:hint="eastAsia"/>
          <w:sz w:val="24"/>
          <w:szCs w:val="24"/>
        </w:rPr>
        <w:t>诉讼代理人为了申请再审的需要，可以查阅已经审理终结的所代理案件有关材料。</w:t>
      </w:r>
    </w:p>
    <w:p w:rsidR="00FF67A1" w:rsidRPr="004520E4" w:rsidRDefault="00FF67A1" w:rsidP="00A23AB4">
      <w:pPr>
        <w:pStyle w:val="a7"/>
        <w:spacing w:line="400" w:lineRule="exact"/>
        <w:ind w:firstLineChars="200" w:firstLine="480"/>
        <w:rPr>
          <w:rFonts w:ascii="微软雅黑" w:eastAsia="微软雅黑" w:hAnsi="微软雅黑" w:cs="宋体"/>
          <w:color w:val="C00000"/>
          <w:sz w:val="24"/>
          <w:szCs w:val="24"/>
        </w:rPr>
      </w:pPr>
      <w:r w:rsidRPr="004520E4">
        <w:rPr>
          <w:rFonts w:ascii="微软雅黑" w:eastAsia="微软雅黑" w:hAnsi="微软雅黑" w:cs="宋体" w:hint="eastAsia"/>
          <w:b/>
          <w:color w:val="C00000"/>
          <w:sz w:val="24"/>
          <w:szCs w:val="24"/>
        </w:rPr>
        <w:t>第二条</w:t>
      </w:r>
      <w:r w:rsidRPr="004520E4">
        <w:rPr>
          <w:rFonts w:ascii="微软雅黑" w:eastAsia="微软雅黑" w:hAnsi="微软雅黑" w:cs="宋体"/>
          <w:color w:val="C00000"/>
          <w:sz w:val="24"/>
          <w:szCs w:val="24"/>
        </w:rPr>
        <w:t xml:space="preserve">　</w:t>
      </w:r>
      <w:r w:rsidRPr="004520E4">
        <w:rPr>
          <w:rFonts w:ascii="微软雅黑" w:eastAsia="微软雅黑" w:hAnsi="微软雅黑" w:cs="宋体" w:hint="eastAsia"/>
          <w:color w:val="C00000"/>
          <w:sz w:val="24"/>
          <w:szCs w:val="24"/>
        </w:rPr>
        <w:t>人民法院应当为诉讼代理人阅卷提供便利条件，安排阅卷场所。必要时，该案件的书记员或者法院其他工作人员应当在场。</w:t>
      </w:r>
    </w:p>
    <w:p w:rsidR="00FF67A1" w:rsidRPr="004520E4" w:rsidRDefault="00FF67A1" w:rsidP="00A23AB4">
      <w:pPr>
        <w:pStyle w:val="a7"/>
        <w:spacing w:line="400" w:lineRule="exact"/>
        <w:ind w:firstLineChars="200" w:firstLine="480"/>
        <w:rPr>
          <w:rFonts w:ascii="微软雅黑" w:eastAsia="微软雅黑" w:hAnsi="微软雅黑" w:cs="宋体"/>
          <w:sz w:val="24"/>
          <w:szCs w:val="24"/>
        </w:rPr>
      </w:pPr>
      <w:r w:rsidRPr="004520E4">
        <w:rPr>
          <w:rFonts w:ascii="微软雅黑" w:eastAsia="微软雅黑" w:hAnsi="微软雅黑" w:cs="宋体" w:hint="eastAsia"/>
          <w:b/>
          <w:sz w:val="24"/>
          <w:szCs w:val="24"/>
        </w:rPr>
        <w:t>第三条</w:t>
      </w:r>
      <w:r w:rsidRPr="004520E4">
        <w:rPr>
          <w:rFonts w:ascii="微软雅黑" w:eastAsia="微软雅黑" w:hAnsi="微软雅黑" w:cs="宋体"/>
          <w:sz w:val="24"/>
          <w:szCs w:val="24"/>
        </w:rPr>
        <w:t xml:space="preserve">　</w:t>
      </w:r>
      <w:r w:rsidRPr="004520E4">
        <w:rPr>
          <w:rFonts w:ascii="微软雅黑" w:eastAsia="微软雅黑" w:hAnsi="微软雅黑" w:cs="宋体" w:hint="eastAsia"/>
          <w:sz w:val="24"/>
          <w:szCs w:val="24"/>
        </w:rPr>
        <w:t>诉讼代理人在诉讼过程中需要查阅案件有关材料的，应当提前与该案件的书记员或者审判人员联系；查阅已经审理终结的案件有关材料的，应当与人民法院有关部门工作人员联系。</w:t>
      </w:r>
    </w:p>
    <w:p w:rsidR="00FF67A1" w:rsidRPr="004520E4" w:rsidRDefault="00FF67A1" w:rsidP="00A23AB4">
      <w:pPr>
        <w:pStyle w:val="a7"/>
        <w:spacing w:line="400" w:lineRule="exact"/>
        <w:ind w:firstLineChars="200" w:firstLine="480"/>
        <w:rPr>
          <w:rFonts w:ascii="微软雅黑" w:eastAsia="微软雅黑" w:hAnsi="微软雅黑" w:cs="宋体"/>
          <w:sz w:val="24"/>
          <w:szCs w:val="24"/>
        </w:rPr>
      </w:pPr>
      <w:r w:rsidRPr="004520E4">
        <w:rPr>
          <w:rFonts w:ascii="微软雅黑" w:eastAsia="微软雅黑" w:hAnsi="微软雅黑" w:cs="宋体" w:hint="eastAsia"/>
          <w:b/>
          <w:sz w:val="24"/>
          <w:szCs w:val="24"/>
        </w:rPr>
        <w:t>第四条</w:t>
      </w:r>
      <w:r w:rsidRPr="004520E4">
        <w:rPr>
          <w:rFonts w:ascii="微软雅黑" w:eastAsia="微软雅黑" w:hAnsi="微软雅黑" w:cs="宋体"/>
          <w:sz w:val="24"/>
          <w:szCs w:val="24"/>
        </w:rPr>
        <w:t xml:space="preserve">　</w:t>
      </w:r>
      <w:r w:rsidRPr="004520E4">
        <w:rPr>
          <w:rFonts w:ascii="微软雅黑" w:eastAsia="微软雅黑" w:hAnsi="微软雅黑" w:cs="宋体" w:hint="eastAsia"/>
          <w:sz w:val="24"/>
          <w:szCs w:val="24"/>
        </w:rPr>
        <w:t>诉讼代理人查阅案件有关材料应当出示律师证或者身份证等有效证件。查阅案件有关材料应当填写查阅案件有关材料阅卷单。</w:t>
      </w:r>
    </w:p>
    <w:p w:rsidR="00FF67A1" w:rsidRPr="004520E4" w:rsidRDefault="00FF67A1" w:rsidP="00A23AB4">
      <w:pPr>
        <w:pStyle w:val="a7"/>
        <w:spacing w:line="400" w:lineRule="exact"/>
        <w:ind w:firstLineChars="200" w:firstLine="480"/>
        <w:rPr>
          <w:rFonts w:ascii="微软雅黑" w:eastAsia="微软雅黑" w:hAnsi="微软雅黑" w:cs="宋体"/>
          <w:color w:val="C00000"/>
          <w:sz w:val="24"/>
          <w:szCs w:val="24"/>
        </w:rPr>
      </w:pPr>
      <w:r w:rsidRPr="004520E4">
        <w:rPr>
          <w:rFonts w:ascii="微软雅黑" w:eastAsia="微软雅黑" w:hAnsi="微软雅黑" w:cs="宋体" w:hint="eastAsia"/>
          <w:b/>
          <w:color w:val="C00000"/>
          <w:sz w:val="24"/>
          <w:szCs w:val="24"/>
        </w:rPr>
        <w:t>第五条</w:t>
      </w:r>
      <w:r w:rsidRPr="004520E4">
        <w:rPr>
          <w:rFonts w:ascii="微软雅黑" w:eastAsia="微软雅黑" w:hAnsi="微软雅黑" w:cs="宋体"/>
          <w:color w:val="C00000"/>
          <w:sz w:val="24"/>
          <w:szCs w:val="24"/>
        </w:rPr>
        <w:t xml:space="preserve">　</w:t>
      </w:r>
      <w:r w:rsidRPr="004520E4">
        <w:rPr>
          <w:rFonts w:ascii="微软雅黑" w:eastAsia="微软雅黑" w:hAnsi="微软雅黑" w:cs="宋体" w:hint="eastAsia"/>
          <w:color w:val="C00000"/>
          <w:sz w:val="24"/>
          <w:szCs w:val="24"/>
        </w:rPr>
        <w:t>诉讼代理人在诉讼中查阅案件材料限于案件审判卷和执行卷的正卷，包括起诉书、答辩书、庭审笔录及各种证据材料等。</w:t>
      </w:r>
    </w:p>
    <w:p w:rsidR="00FF67A1" w:rsidRPr="004520E4" w:rsidRDefault="00FF67A1" w:rsidP="00A23AB4">
      <w:pPr>
        <w:pStyle w:val="a7"/>
        <w:spacing w:line="400" w:lineRule="exact"/>
        <w:ind w:firstLineChars="200" w:firstLine="480"/>
        <w:rPr>
          <w:rFonts w:ascii="微软雅黑" w:eastAsia="微软雅黑" w:hAnsi="微软雅黑" w:cs="宋体"/>
          <w:color w:val="C00000"/>
          <w:sz w:val="24"/>
          <w:szCs w:val="24"/>
        </w:rPr>
      </w:pPr>
      <w:r w:rsidRPr="004520E4">
        <w:rPr>
          <w:rFonts w:ascii="微软雅黑" w:eastAsia="微软雅黑" w:hAnsi="微软雅黑" w:cs="宋体" w:hint="eastAsia"/>
          <w:color w:val="C00000"/>
          <w:sz w:val="24"/>
          <w:szCs w:val="24"/>
        </w:rPr>
        <w:t>案件审理终结后，可以查阅案件审判卷的正卷。</w:t>
      </w:r>
    </w:p>
    <w:p w:rsidR="00FF67A1" w:rsidRPr="004520E4" w:rsidRDefault="00FF67A1" w:rsidP="00A23AB4">
      <w:pPr>
        <w:pStyle w:val="a7"/>
        <w:spacing w:line="400" w:lineRule="exact"/>
        <w:ind w:firstLineChars="200" w:firstLine="480"/>
        <w:rPr>
          <w:rFonts w:ascii="微软雅黑" w:eastAsia="微软雅黑" w:hAnsi="微软雅黑" w:cs="宋体"/>
          <w:sz w:val="24"/>
          <w:szCs w:val="24"/>
        </w:rPr>
      </w:pPr>
      <w:r w:rsidRPr="004520E4">
        <w:rPr>
          <w:rFonts w:ascii="微软雅黑" w:eastAsia="微软雅黑" w:hAnsi="微软雅黑" w:cs="宋体" w:hint="eastAsia"/>
          <w:b/>
          <w:sz w:val="24"/>
          <w:szCs w:val="24"/>
        </w:rPr>
        <w:t>第六条</w:t>
      </w:r>
      <w:r w:rsidRPr="004520E4">
        <w:rPr>
          <w:rFonts w:ascii="微软雅黑" w:eastAsia="微软雅黑" w:hAnsi="微软雅黑" w:cs="宋体"/>
          <w:sz w:val="24"/>
          <w:szCs w:val="24"/>
        </w:rPr>
        <w:t xml:space="preserve">　</w:t>
      </w:r>
      <w:r w:rsidRPr="004520E4">
        <w:rPr>
          <w:rFonts w:ascii="微软雅黑" w:eastAsia="微软雅黑" w:hAnsi="微软雅黑" w:cs="宋体" w:hint="eastAsia"/>
          <w:sz w:val="24"/>
          <w:szCs w:val="24"/>
        </w:rPr>
        <w:t>诉讼代理人查阅案件有关材料后，应当及时将查阅的全部案件材料交回书记员或者其他负责保管案卷的工作人员。</w:t>
      </w:r>
    </w:p>
    <w:p w:rsidR="00FF67A1" w:rsidRPr="004520E4" w:rsidRDefault="00FF67A1" w:rsidP="00A23AB4">
      <w:pPr>
        <w:pStyle w:val="a7"/>
        <w:spacing w:line="400" w:lineRule="exact"/>
        <w:ind w:firstLineChars="200" w:firstLine="480"/>
        <w:rPr>
          <w:rFonts w:ascii="微软雅黑" w:eastAsia="微软雅黑" w:hAnsi="微软雅黑" w:cs="宋体"/>
          <w:sz w:val="24"/>
          <w:szCs w:val="24"/>
        </w:rPr>
      </w:pPr>
      <w:r w:rsidRPr="004520E4">
        <w:rPr>
          <w:rFonts w:ascii="微软雅黑" w:eastAsia="微软雅黑" w:hAnsi="微软雅黑" w:cs="宋体" w:hint="eastAsia"/>
          <w:sz w:val="24"/>
          <w:szCs w:val="24"/>
        </w:rPr>
        <w:t>书记员或者法院其他工作人员对诉讼代理人交回的案件材料应当当面清查，认为无误后在阅卷单上签注。阅卷</w:t>
      </w:r>
      <w:proofErr w:type="gramStart"/>
      <w:r w:rsidRPr="004520E4">
        <w:rPr>
          <w:rFonts w:ascii="微软雅黑" w:eastAsia="微软雅黑" w:hAnsi="微软雅黑" w:cs="宋体" w:hint="eastAsia"/>
          <w:sz w:val="24"/>
          <w:szCs w:val="24"/>
        </w:rPr>
        <w:t>单应当</w:t>
      </w:r>
      <w:proofErr w:type="gramEnd"/>
      <w:r w:rsidRPr="004520E4">
        <w:rPr>
          <w:rFonts w:ascii="微软雅黑" w:eastAsia="微软雅黑" w:hAnsi="微软雅黑" w:cs="宋体" w:hint="eastAsia"/>
          <w:sz w:val="24"/>
          <w:szCs w:val="24"/>
        </w:rPr>
        <w:t>附卷。</w:t>
      </w:r>
    </w:p>
    <w:p w:rsidR="00FF67A1" w:rsidRPr="004520E4" w:rsidRDefault="00FF67A1" w:rsidP="00A23AB4">
      <w:pPr>
        <w:pStyle w:val="a7"/>
        <w:spacing w:line="400" w:lineRule="exact"/>
        <w:ind w:firstLineChars="200" w:firstLine="480"/>
        <w:rPr>
          <w:rFonts w:ascii="微软雅黑" w:eastAsia="微软雅黑" w:hAnsi="微软雅黑" w:cs="宋体"/>
          <w:color w:val="0070C0"/>
          <w:sz w:val="24"/>
          <w:szCs w:val="24"/>
        </w:rPr>
      </w:pPr>
      <w:r w:rsidRPr="004520E4">
        <w:rPr>
          <w:rFonts w:ascii="微软雅黑" w:eastAsia="微软雅黑" w:hAnsi="微软雅黑" w:cs="宋体" w:hint="eastAsia"/>
          <w:color w:val="0070C0"/>
          <w:sz w:val="24"/>
          <w:szCs w:val="24"/>
        </w:rPr>
        <w:t>诉讼代理人不得将查阅的案件材料携出法院指定的阅卷场所。</w:t>
      </w:r>
    </w:p>
    <w:p w:rsidR="00FF67A1" w:rsidRPr="004520E4" w:rsidRDefault="00FF67A1" w:rsidP="00A23AB4">
      <w:pPr>
        <w:pStyle w:val="a7"/>
        <w:spacing w:line="400" w:lineRule="exact"/>
        <w:ind w:firstLineChars="200" w:firstLine="480"/>
        <w:rPr>
          <w:rFonts w:ascii="微软雅黑" w:eastAsia="微软雅黑" w:hAnsi="微软雅黑" w:cs="宋体"/>
          <w:sz w:val="24"/>
          <w:szCs w:val="24"/>
        </w:rPr>
      </w:pPr>
      <w:r w:rsidRPr="004520E4">
        <w:rPr>
          <w:rFonts w:ascii="微软雅黑" w:eastAsia="微软雅黑" w:hAnsi="微软雅黑" w:cs="宋体" w:hint="eastAsia"/>
          <w:b/>
          <w:color w:val="C00000"/>
          <w:sz w:val="24"/>
          <w:szCs w:val="24"/>
        </w:rPr>
        <w:t>第七条</w:t>
      </w:r>
      <w:r w:rsidRPr="004520E4">
        <w:rPr>
          <w:rFonts w:ascii="微软雅黑" w:eastAsia="微软雅黑" w:hAnsi="微软雅黑" w:cs="宋体"/>
          <w:color w:val="C00000"/>
          <w:sz w:val="24"/>
          <w:szCs w:val="24"/>
        </w:rPr>
        <w:t xml:space="preserve">　</w:t>
      </w:r>
      <w:r w:rsidRPr="004520E4">
        <w:rPr>
          <w:rFonts w:ascii="微软雅黑" w:eastAsia="微软雅黑" w:hAnsi="微软雅黑" w:cs="宋体" w:hint="eastAsia"/>
          <w:color w:val="C00000"/>
          <w:sz w:val="24"/>
          <w:szCs w:val="24"/>
        </w:rPr>
        <w:t>诉讼代理人查阅案件材料可以摘抄或者复印。</w:t>
      </w:r>
      <w:r w:rsidRPr="004520E4">
        <w:rPr>
          <w:rFonts w:ascii="微软雅黑" w:eastAsia="微软雅黑" w:hAnsi="微软雅黑" w:cs="宋体" w:hint="eastAsia"/>
          <w:sz w:val="24"/>
          <w:szCs w:val="24"/>
        </w:rPr>
        <w:t>涉及国家秘密的案件材料，依照国家有关规定办理。</w:t>
      </w:r>
    </w:p>
    <w:p w:rsidR="00FF67A1" w:rsidRPr="004520E4" w:rsidRDefault="00FF67A1" w:rsidP="00A23AB4">
      <w:pPr>
        <w:pStyle w:val="a7"/>
        <w:spacing w:line="400" w:lineRule="exact"/>
        <w:ind w:firstLineChars="200" w:firstLine="480"/>
        <w:rPr>
          <w:rFonts w:ascii="微软雅黑" w:eastAsia="微软雅黑" w:hAnsi="微软雅黑" w:cs="宋体"/>
          <w:color w:val="C00000"/>
          <w:sz w:val="24"/>
          <w:szCs w:val="24"/>
        </w:rPr>
      </w:pPr>
      <w:r w:rsidRPr="004520E4">
        <w:rPr>
          <w:rFonts w:ascii="微软雅黑" w:eastAsia="微软雅黑" w:hAnsi="微软雅黑" w:cs="宋体" w:hint="eastAsia"/>
          <w:color w:val="0070C0"/>
          <w:sz w:val="24"/>
          <w:szCs w:val="24"/>
        </w:rPr>
        <w:t>复印案件材料应当经案卷保管人员的同意。</w:t>
      </w:r>
      <w:r w:rsidRPr="004520E4">
        <w:rPr>
          <w:rFonts w:ascii="微软雅黑" w:eastAsia="微软雅黑" w:hAnsi="微软雅黑" w:cs="宋体" w:hint="eastAsia"/>
          <w:color w:val="C00000"/>
          <w:sz w:val="24"/>
          <w:szCs w:val="24"/>
        </w:rPr>
        <w:t>复印已经审理终结的案件有关材料，诉讼代理人可以要求案卷管理部门在复印材料上盖章确认。</w:t>
      </w:r>
    </w:p>
    <w:p w:rsidR="00FF67A1" w:rsidRPr="004520E4" w:rsidRDefault="00FF67A1" w:rsidP="00A23AB4">
      <w:pPr>
        <w:pStyle w:val="a7"/>
        <w:spacing w:line="400" w:lineRule="exact"/>
        <w:ind w:firstLineChars="200" w:firstLine="480"/>
        <w:rPr>
          <w:rFonts w:ascii="微软雅黑" w:eastAsia="微软雅黑" w:hAnsi="微软雅黑" w:cs="宋体"/>
          <w:color w:val="0070C0"/>
          <w:sz w:val="24"/>
          <w:szCs w:val="24"/>
        </w:rPr>
      </w:pPr>
      <w:r w:rsidRPr="004520E4">
        <w:rPr>
          <w:rFonts w:ascii="微软雅黑" w:eastAsia="微软雅黑" w:hAnsi="微软雅黑" w:cs="宋体" w:hint="eastAsia"/>
          <w:color w:val="0070C0"/>
          <w:sz w:val="24"/>
          <w:szCs w:val="24"/>
        </w:rPr>
        <w:t>复印案件材料可以收取必要的费用。</w:t>
      </w:r>
    </w:p>
    <w:p w:rsidR="00FF67A1" w:rsidRPr="004520E4" w:rsidRDefault="00FF67A1" w:rsidP="00A23AB4">
      <w:pPr>
        <w:pStyle w:val="a7"/>
        <w:spacing w:line="400" w:lineRule="exact"/>
        <w:ind w:firstLineChars="200" w:firstLine="480"/>
        <w:rPr>
          <w:rFonts w:ascii="微软雅黑" w:eastAsia="微软雅黑" w:hAnsi="微软雅黑" w:cs="宋体"/>
          <w:color w:val="0070C0"/>
          <w:sz w:val="24"/>
          <w:szCs w:val="24"/>
        </w:rPr>
      </w:pPr>
      <w:r w:rsidRPr="004520E4">
        <w:rPr>
          <w:rFonts w:ascii="微软雅黑" w:eastAsia="微软雅黑" w:hAnsi="微软雅黑" w:cs="宋体" w:hint="eastAsia"/>
          <w:b/>
          <w:color w:val="0070C0"/>
          <w:sz w:val="24"/>
          <w:szCs w:val="24"/>
        </w:rPr>
        <w:t>第八条</w:t>
      </w:r>
      <w:r w:rsidRPr="004520E4">
        <w:rPr>
          <w:rFonts w:ascii="微软雅黑" w:eastAsia="微软雅黑" w:hAnsi="微软雅黑" w:cs="宋体"/>
          <w:color w:val="0070C0"/>
          <w:sz w:val="24"/>
          <w:szCs w:val="24"/>
        </w:rPr>
        <w:t xml:space="preserve">　</w:t>
      </w:r>
      <w:r w:rsidRPr="004520E4">
        <w:rPr>
          <w:rFonts w:ascii="微软雅黑" w:eastAsia="微软雅黑" w:hAnsi="微软雅黑" w:cs="宋体" w:hint="eastAsia"/>
          <w:color w:val="0070C0"/>
          <w:sz w:val="24"/>
          <w:szCs w:val="24"/>
        </w:rPr>
        <w:t>查阅案件材料中涉及国家秘密、商业秘密和个人隐私的，诉讼代理人应当保密。</w:t>
      </w:r>
    </w:p>
    <w:p w:rsidR="00FF67A1" w:rsidRPr="004520E4" w:rsidRDefault="00FF67A1" w:rsidP="00A23AB4">
      <w:pPr>
        <w:pStyle w:val="a7"/>
        <w:spacing w:line="400" w:lineRule="exact"/>
        <w:ind w:firstLineChars="200" w:firstLine="480"/>
        <w:rPr>
          <w:rFonts w:ascii="微软雅黑" w:eastAsia="微软雅黑" w:hAnsi="微软雅黑" w:cs="宋体"/>
          <w:sz w:val="24"/>
          <w:szCs w:val="24"/>
        </w:rPr>
      </w:pPr>
      <w:r w:rsidRPr="004520E4">
        <w:rPr>
          <w:rFonts w:ascii="微软雅黑" w:eastAsia="微软雅黑" w:hAnsi="微软雅黑" w:cs="宋体" w:hint="eastAsia"/>
          <w:b/>
          <w:sz w:val="24"/>
          <w:szCs w:val="24"/>
        </w:rPr>
        <w:t>第九条</w:t>
      </w:r>
      <w:r w:rsidRPr="004520E4">
        <w:rPr>
          <w:rFonts w:ascii="微软雅黑" w:eastAsia="微软雅黑" w:hAnsi="微软雅黑" w:cs="宋体"/>
          <w:sz w:val="24"/>
          <w:szCs w:val="24"/>
        </w:rPr>
        <w:t xml:space="preserve">　</w:t>
      </w:r>
      <w:r w:rsidRPr="004520E4">
        <w:rPr>
          <w:rFonts w:ascii="微软雅黑" w:eastAsia="微软雅黑" w:hAnsi="微软雅黑" w:cs="宋体" w:hint="eastAsia"/>
          <w:sz w:val="24"/>
          <w:szCs w:val="24"/>
        </w:rPr>
        <w:t>诉讼代理人查阅案件材料时不得涂改、损毁、抽取案件材料。</w:t>
      </w:r>
    </w:p>
    <w:p w:rsidR="00FF67A1" w:rsidRPr="004520E4" w:rsidRDefault="00FF67A1" w:rsidP="00A23AB4">
      <w:pPr>
        <w:pStyle w:val="a7"/>
        <w:spacing w:line="400" w:lineRule="exact"/>
        <w:ind w:firstLineChars="200" w:firstLine="480"/>
        <w:rPr>
          <w:rFonts w:ascii="微软雅黑" w:eastAsia="微软雅黑" w:hAnsi="微软雅黑" w:cs="宋体"/>
          <w:sz w:val="24"/>
          <w:szCs w:val="24"/>
        </w:rPr>
      </w:pPr>
      <w:r w:rsidRPr="004520E4">
        <w:rPr>
          <w:rFonts w:ascii="微软雅黑" w:eastAsia="微软雅黑" w:hAnsi="微软雅黑" w:cs="宋体" w:hint="eastAsia"/>
          <w:sz w:val="24"/>
          <w:szCs w:val="24"/>
        </w:rPr>
        <w:t>人民法院对修改、损毁、抽取案卷材料的诉讼代理人，可以参照民事诉讼法第一百一十一条第一款第（一）项的规定处理。</w:t>
      </w:r>
    </w:p>
    <w:p w:rsidR="00FF67A1" w:rsidRPr="004520E4" w:rsidRDefault="00FF67A1" w:rsidP="00A23AB4">
      <w:pPr>
        <w:pStyle w:val="a7"/>
        <w:spacing w:line="400" w:lineRule="exact"/>
        <w:ind w:firstLineChars="200" w:firstLine="480"/>
        <w:rPr>
          <w:rFonts w:ascii="微软雅黑" w:eastAsia="微软雅黑" w:hAnsi="微软雅黑" w:cs="宋体"/>
          <w:sz w:val="24"/>
          <w:szCs w:val="24"/>
        </w:rPr>
      </w:pPr>
      <w:r w:rsidRPr="004520E4">
        <w:rPr>
          <w:rFonts w:ascii="微软雅黑" w:eastAsia="微软雅黑" w:hAnsi="微软雅黑" w:cs="宋体" w:hint="eastAsia"/>
          <w:b/>
          <w:sz w:val="24"/>
          <w:szCs w:val="24"/>
        </w:rPr>
        <w:t>第十条</w:t>
      </w:r>
      <w:r w:rsidRPr="004520E4">
        <w:rPr>
          <w:rFonts w:ascii="微软雅黑" w:eastAsia="微软雅黑" w:hAnsi="微软雅黑" w:cs="宋体"/>
          <w:sz w:val="24"/>
          <w:szCs w:val="24"/>
        </w:rPr>
        <w:t xml:space="preserve">　</w:t>
      </w:r>
      <w:r w:rsidRPr="004520E4">
        <w:rPr>
          <w:rFonts w:ascii="微软雅黑" w:eastAsia="微软雅黑" w:hAnsi="微软雅黑" w:cs="宋体" w:hint="eastAsia"/>
          <w:sz w:val="24"/>
          <w:szCs w:val="24"/>
        </w:rPr>
        <w:t>民事案件的当事人查阅案件有关材料的，参照本规定执行。</w:t>
      </w:r>
      <w:bookmarkStart w:id="0" w:name="_GoBack"/>
      <w:bookmarkEnd w:id="0"/>
    </w:p>
    <w:p w:rsidR="00FF67A1" w:rsidRPr="004520E4" w:rsidRDefault="00FF67A1" w:rsidP="004520E4">
      <w:pPr>
        <w:pStyle w:val="a7"/>
        <w:spacing w:line="400" w:lineRule="exact"/>
        <w:ind w:firstLineChars="200" w:firstLine="480"/>
        <w:rPr>
          <w:rFonts w:ascii="微软雅黑" w:eastAsia="微软雅黑" w:hAnsi="微软雅黑" w:cs="宋体"/>
          <w:sz w:val="24"/>
          <w:szCs w:val="24"/>
        </w:rPr>
      </w:pPr>
      <w:r w:rsidRPr="004520E4">
        <w:rPr>
          <w:rFonts w:ascii="微软雅黑" w:eastAsia="微软雅黑" w:hAnsi="微软雅黑" w:cs="宋体" w:hint="eastAsia"/>
          <w:b/>
          <w:sz w:val="24"/>
          <w:szCs w:val="24"/>
        </w:rPr>
        <w:t>第十一条</w:t>
      </w:r>
      <w:r w:rsidRPr="004520E4">
        <w:rPr>
          <w:rFonts w:ascii="微软雅黑" w:eastAsia="微软雅黑" w:hAnsi="微软雅黑" w:cs="宋体"/>
          <w:sz w:val="24"/>
          <w:szCs w:val="24"/>
        </w:rPr>
        <w:t xml:space="preserve">　</w:t>
      </w:r>
      <w:r w:rsidRPr="004520E4">
        <w:rPr>
          <w:rFonts w:ascii="微软雅黑" w:eastAsia="微软雅黑" w:hAnsi="微软雅黑" w:cs="宋体" w:hint="eastAsia"/>
          <w:sz w:val="24"/>
          <w:szCs w:val="24"/>
        </w:rPr>
        <w:t>本规定自公布之日起施行。</w:t>
      </w:r>
    </w:p>
    <w:sectPr w:rsidR="00FF67A1" w:rsidRPr="004520E4" w:rsidSect="004520E4">
      <w:footerReference w:type="even" r:id="rId7"/>
      <w:footerReference w:type="default" r:id="rId8"/>
      <w:pgSz w:w="11906" w:h="16838"/>
      <w:pgMar w:top="720" w:right="720" w:bottom="720" w:left="720" w:header="283" w:footer="283" w:gutter="0"/>
      <w:pgNumType w:start="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165F" w:rsidRDefault="0079165F">
      <w:r>
        <w:separator/>
      </w:r>
    </w:p>
  </w:endnote>
  <w:endnote w:type="continuationSeparator" w:id="0">
    <w:p w:rsidR="0079165F" w:rsidRDefault="00791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67A1" w:rsidRDefault="00FF67A1">
    <w:pPr>
      <w:pStyle w:val="aa"/>
      <w:framePr w:wrap="around" w:vAnchor="text" w:hAnchor="margin" w:xAlign="outside" w:y="1"/>
      <w:rPr>
        <w:rStyle w:val="a3"/>
      </w:rPr>
    </w:pPr>
    <w:r>
      <w:fldChar w:fldCharType="begin"/>
    </w:r>
    <w:r>
      <w:rPr>
        <w:rStyle w:val="a3"/>
      </w:rPr>
      <w:instrText xml:space="preserve">PAGE  </w:instrText>
    </w:r>
    <w:r>
      <w:fldChar w:fldCharType="end"/>
    </w:r>
  </w:p>
  <w:p w:rsidR="00FF67A1" w:rsidRDefault="00FF67A1">
    <w:pPr>
      <w:pStyle w:val="a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67A1" w:rsidRDefault="004520E4" w:rsidP="004520E4">
    <w:pPr>
      <w:pStyle w:val="aa"/>
      <w:ind w:left="10170" w:right="360"/>
    </w:pPr>
    <w:r>
      <w:t xml:space="preserve">1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165F" w:rsidRDefault="0079165F">
      <w:r>
        <w:separator/>
      </w:r>
    </w:p>
  </w:footnote>
  <w:footnote w:type="continuationSeparator" w:id="0">
    <w:p w:rsidR="0079165F" w:rsidRDefault="007916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DC23FB"/>
    <w:multiLevelType w:val="hybridMultilevel"/>
    <w:tmpl w:val="F17251AC"/>
    <w:lvl w:ilvl="0" w:tplc="EF94B8F4">
      <w:start w:val="2021"/>
      <w:numFmt w:val="bullet"/>
      <w:lvlText w:val="-"/>
      <w:lvlJc w:val="left"/>
      <w:pPr>
        <w:ind w:left="10170" w:hanging="360"/>
      </w:pPr>
      <w:rPr>
        <w:rFonts w:ascii="Times New Roman" w:eastAsia="宋体" w:hAnsi="Times New Roman" w:cs="Times New Roman" w:hint="default"/>
      </w:rPr>
    </w:lvl>
    <w:lvl w:ilvl="1" w:tplc="04090003" w:tentative="1">
      <w:start w:val="1"/>
      <w:numFmt w:val="bullet"/>
      <w:lvlText w:val=""/>
      <w:lvlJc w:val="left"/>
      <w:pPr>
        <w:ind w:left="10650" w:hanging="420"/>
      </w:pPr>
      <w:rPr>
        <w:rFonts w:ascii="Wingdings" w:hAnsi="Wingdings" w:hint="default"/>
      </w:rPr>
    </w:lvl>
    <w:lvl w:ilvl="2" w:tplc="04090005" w:tentative="1">
      <w:start w:val="1"/>
      <w:numFmt w:val="bullet"/>
      <w:lvlText w:val=""/>
      <w:lvlJc w:val="left"/>
      <w:pPr>
        <w:ind w:left="11070" w:hanging="420"/>
      </w:pPr>
      <w:rPr>
        <w:rFonts w:ascii="Wingdings" w:hAnsi="Wingdings" w:hint="default"/>
      </w:rPr>
    </w:lvl>
    <w:lvl w:ilvl="3" w:tplc="04090001" w:tentative="1">
      <w:start w:val="1"/>
      <w:numFmt w:val="bullet"/>
      <w:lvlText w:val=""/>
      <w:lvlJc w:val="left"/>
      <w:pPr>
        <w:ind w:left="11490" w:hanging="420"/>
      </w:pPr>
      <w:rPr>
        <w:rFonts w:ascii="Wingdings" w:hAnsi="Wingdings" w:hint="default"/>
      </w:rPr>
    </w:lvl>
    <w:lvl w:ilvl="4" w:tplc="04090003" w:tentative="1">
      <w:start w:val="1"/>
      <w:numFmt w:val="bullet"/>
      <w:lvlText w:val=""/>
      <w:lvlJc w:val="left"/>
      <w:pPr>
        <w:ind w:left="11910" w:hanging="420"/>
      </w:pPr>
      <w:rPr>
        <w:rFonts w:ascii="Wingdings" w:hAnsi="Wingdings" w:hint="default"/>
      </w:rPr>
    </w:lvl>
    <w:lvl w:ilvl="5" w:tplc="04090005" w:tentative="1">
      <w:start w:val="1"/>
      <w:numFmt w:val="bullet"/>
      <w:lvlText w:val=""/>
      <w:lvlJc w:val="left"/>
      <w:pPr>
        <w:ind w:left="12330" w:hanging="420"/>
      </w:pPr>
      <w:rPr>
        <w:rFonts w:ascii="Wingdings" w:hAnsi="Wingdings" w:hint="default"/>
      </w:rPr>
    </w:lvl>
    <w:lvl w:ilvl="6" w:tplc="04090001" w:tentative="1">
      <w:start w:val="1"/>
      <w:numFmt w:val="bullet"/>
      <w:lvlText w:val=""/>
      <w:lvlJc w:val="left"/>
      <w:pPr>
        <w:ind w:left="12750" w:hanging="420"/>
      </w:pPr>
      <w:rPr>
        <w:rFonts w:ascii="Wingdings" w:hAnsi="Wingdings" w:hint="default"/>
      </w:rPr>
    </w:lvl>
    <w:lvl w:ilvl="7" w:tplc="04090003" w:tentative="1">
      <w:start w:val="1"/>
      <w:numFmt w:val="bullet"/>
      <w:lvlText w:val=""/>
      <w:lvlJc w:val="left"/>
      <w:pPr>
        <w:ind w:left="13170" w:hanging="420"/>
      </w:pPr>
      <w:rPr>
        <w:rFonts w:ascii="Wingdings" w:hAnsi="Wingdings" w:hint="default"/>
      </w:rPr>
    </w:lvl>
    <w:lvl w:ilvl="8" w:tplc="04090005" w:tentative="1">
      <w:start w:val="1"/>
      <w:numFmt w:val="bullet"/>
      <w:lvlText w:val=""/>
      <w:lvlJc w:val="left"/>
      <w:pPr>
        <w:ind w:left="135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D6C55"/>
    <w:rsid w:val="000051BA"/>
    <w:rsid w:val="00007DC9"/>
    <w:rsid w:val="00022FF2"/>
    <w:rsid w:val="000246CF"/>
    <w:rsid w:val="00026B55"/>
    <w:rsid w:val="000300E0"/>
    <w:rsid w:val="000407C2"/>
    <w:rsid w:val="0004157A"/>
    <w:rsid w:val="00041639"/>
    <w:rsid w:val="00046FD0"/>
    <w:rsid w:val="00060A39"/>
    <w:rsid w:val="00060B3A"/>
    <w:rsid w:val="000658AA"/>
    <w:rsid w:val="00070A8B"/>
    <w:rsid w:val="000720A0"/>
    <w:rsid w:val="00072E51"/>
    <w:rsid w:val="000831A5"/>
    <w:rsid w:val="00092662"/>
    <w:rsid w:val="00093500"/>
    <w:rsid w:val="00094871"/>
    <w:rsid w:val="00095B97"/>
    <w:rsid w:val="000A67EC"/>
    <w:rsid w:val="000B1F15"/>
    <w:rsid w:val="000B47FF"/>
    <w:rsid w:val="000C4793"/>
    <w:rsid w:val="000D7352"/>
    <w:rsid w:val="000E4EE9"/>
    <w:rsid w:val="000E5187"/>
    <w:rsid w:val="000E56CF"/>
    <w:rsid w:val="000E6D88"/>
    <w:rsid w:val="000F150B"/>
    <w:rsid w:val="000F2196"/>
    <w:rsid w:val="000F2D91"/>
    <w:rsid w:val="00105EA6"/>
    <w:rsid w:val="001066EE"/>
    <w:rsid w:val="00106D59"/>
    <w:rsid w:val="0012052D"/>
    <w:rsid w:val="001211C7"/>
    <w:rsid w:val="00125415"/>
    <w:rsid w:val="00131D55"/>
    <w:rsid w:val="00133F36"/>
    <w:rsid w:val="00141FB6"/>
    <w:rsid w:val="00156266"/>
    <w:rsid w:val="00157374"/>
    <w:rsid w:val="001614DD"/>
    <w:rsid w:val="001617A2"/>
    <w:rsid w:val="00162880"/>
    <w:rsid w:val="0016489F"/>
    <w:rsid w:val="0016665A"/>
    <w:rsid w:val="00170A71"/>
    <w:rsid w:val="001778DA"/>
    <w:rsid w:val="001A7520"/>
    <w:rsid w:val="001B131A"/>
    <w:rsid w:val="001B153F"/>
    <w:rsid w:val="001B6523"/>
    <w:rsid w:val="001D4E14"/>
    <w:rsid w:val="001D5662"/>
    <w:rsid w:val="001E1AB1"/>
    <w:rsid w:val="002064F7"/>
    <w:rsid w:val="00206B2B"/>
    <w:rsid w:val="0021015E"/>
    <w:rsid w:val="0021638E"/>
    <w:rsid w:val="002216B9"/>
    <w:rsid w:val="002236FB"/>
    <w:rsid w:val="002240C0"/>
    <w:rsid w:val="0023259F"/>
    <w:rsid w:val="00233F94"/>
    <w:rsid w:val="00235183"/>
    <w:rsid w:val="00241E35"/>
    <w:rsid w:val="002428F9"/>
    <w:rsid w:val="0025742F"/>
    <w:rsid w:val="00257467"/>
    <w:rsid w:val="002671B1"/>
    <w:rsid w:val="00271C80"/>
    <w:rsid w:val="00277543"/>
    <w:rsid w:val="00281EEF"/>
    <w:rsid w:val="0028710F"/>
    <w:rsid w:val="002A0E27"/>
    <w:rsid w:val="002A0E47"/>
    <w:rsid w:val="002A1765"/>
    <w:rsid w:val="002A1BB0"/>
    <w:rsid w:val="002A7E25"/>
    <w:rsid w:val="002B5847"/>
    <w:rsid w:val="002B5E8C"/>
    <w:rsid w:val="002C11D2"/>
    <w:rsid w:val="002C2CC8"/>
    <w:rsid w:val="002D6C55"/>
    <w:rsid w:val="002E52C2"/>
    <w:rsid w:val="002E71C4"/>
    <w:rsid w:val="00300D5D"/>
    <w:rsid w:val="00304596"/>
    <w:rsid w:val="00306548"/>
    <w:rsid w:val="00311EB0"/>
    <w:rsid w:val="00313AEE"/>
    <w:rsid w:val="0031621E"/>
    <w:rsid w:val="00327650"/>
    <w:rsid w:val="003344E4"/>
    <w:rsid w:val="00334544"/>
    <w:rsid w:val="003370AB"/>
    <w:rsid w:val="003407E4"/>
    <w:rsid w:val="00340D0A"/>
    <w:rsid w:val="00342C41"/>
    <w:rsid w:val="00344576"/>
    <w:rsid w:val="00345685"/>
    <w:rsid w:val="003543FF"/>
    <w:rsid w:val="00356973"/>
    <w:rsid w:val="00356AAC"/>
    <w:rsid w:val="00357579"/>
    <w:rsid w:val="00357968"/>
    <w:rsid w:val="00374592"/>
    <w:rsid w:val="00384827"/>
    <w:rsid w:val="003854B1"/>
    <w:rsid w:val="003871CA"/>
    <w:rsid w:val="003902DE"/>
    <w:rsid w:val="00390825"/>
    <w:rsid w:val="00394561"/>
    <w:rsid w:val="00395336"/>
    <w:rsid w:val="003B50D6"/>
    <w:rsid w:val="003C0536"/>
    <w:rsid w:val="003D7E4C"/>
    <w:rsid w:val="003E737D"/>
    <w:rsid w:val="003F2926"/>
    <w:rsid w:val="003F534F"/>
    <w:rsid w:val="00403942"/>
    <w:rsid w:val="00422466"/>
    <w:rsid w:val="00422EA0"/>
    <w:rsid w:val="00424C9C"/>
    <w:rsid w:val="00430221"/>
    <w:rsid w:val="00431DB2"/>
    <w:rsid w:val="00432CA7"/>
    <w:rsid w:val="004358E6"/>
    <w:rsid w:val="00440B14"/>
    <w:rsid w:val="00447D9F"/>
    <w:rsid w:val="0045162B"/>
    <w:rsid w:val="004520E4"/>
    <w:rsid w:val="00454D12"/>
    <w:rsid w:val="00463561"/>
    <w:rsid w:val="004724D5"/>
    <w:rsid w:val="00473BA4"/>
    <w:rsid w:val="00473EAA"/>
    <w:rsid w:val="004745A3"/>
    <w:rsid w:val="0048272B"/>
    <w:rsid w:val="00493ABE"/>
    <w:rsid w:val="004A69A0"/>
    <w:rsid w:val="004B0465"/>
    <w:rsid w:val="004B1A57"/>
    <w:rsid w:val="004B2619"/>
    <w:rsid w:val="004B4FF6"/>
    <w:rsid w:val="004B7D8C"/>
    <w:rsid w:val="004C1EAA"/>
    <w:rsid w:val="004C4118"/>
    <w:rsid w:val="004C4DF7"/>
    <w:rsid w:val="004C569C"/>
    <w:rsid w:val="004F5158"/>
    <w:rsid w:val="00506C84"/>
    <w:rsid w:val="005142A1"/>
    <w:rsid w:val="00517CAB"/>
    <w:rsid w:val="00524AFC"/>
    <w:rsid w:val="00536EBF"/>
    <w:rsid w:val="0053713F"/>
    <w:rsid w:val="00542147"/>
    <w:rsid w:val="005433C2"/>
    <w:rsid w:val="005502F2"/>
    <w:rsid w:val="005533DE"/>
    <w:rsid w:val="00562083"/>
    <w:rsid w:val="0057423C"/>
    <w:rsid w:val="0058350A"/>
    <w:rsid w:val="00586344"/>
    <w:rsid w:val="00594376"/>
    <w:rsid w:val="005A56F6"/>
    <w:rsid w:val="005A6C12"/>
    <w:rsid w:val="005A73D8"/>
    <w:rsid w:val="005C1972"/>
    <w:rsid w:val="005C6779"/>
    <w:rsid w:val="005D3469"/>
    <w:rsid w:val="005E2A4A"/>
    <w:rsid w:val="005E48B7"/>
    <w:rsid w:val="005F1B3D"/>
    <w:rsid w:val="00602816"/>
    <w:rsid w:val="00604ACB"/>
    <w:rsid w:val="00606C5B"/>
    <w:rsid w:val="00610947"/>
    <w:rsid w:val="00612F03"/>
    <w:rsid w:val="006171AA"/>
    <w:rsid w:val="006178C3"/>
    <w:rsid w:val="00621BAF"/>
    <w:rsid w:val="0062410E"/>
    <w:rsid w:val="00626CE8"/>
    <w:rsid w:val="00640BD5"/>
    <w:rsid w:val="00661621"/>
    <w:rsid w:val="006711F4"/>
    <w:rsid w:val="0068140B"/>
    <w:rsid w:val="00685825"/>
    <w:rsid w:val="0069347C"/>
    <w:rsid w:val="006B086F"/>
    <w:rsid w:val="006C6067"/>
    <w:rsid w:val="006E1FF4"/>
    <w:rsid w:val="006E7630"/>
    <w:rsid w:val="006F0A7E"/>
    <w:rsid w:val="006F6FC3"/>
    <w:rsid w:val="006F7D77"/>
    <w:rsid w:val="007024D7"/>
    <w:rsid w:val="00715180"/>
    <w:rsid w:val="00720A73"/>
    <w:rsid w:val="00720CAF"/>
    <w:rsid w:val="00723C50"/>
    <w:rsid w:val="00724377"/>
    <w:rsid w:val="007276B4"/>
    <w:rsid w:val="00733E0F"/>
    <w:rsid w:val="00745D25"/>
    <w:rsid w:val="00746229"/>
    <w:rsid w:val="007506EE"/>
    <w:rsid w:val="0075447F"/>
    <w:rsid w:val="00754A2D"/>
    <w:rsid w:val="007643CE"/>
    <w:rsid w:val="00764ADF"/>
    <w:rsid w:val="00765D0B"/>
    <w:rsid w:val="00766157"/>
    <w:rsid w:val="00767F68"/>
    <w:rsid w:val="0077490A"/>
    <w:rsid w:val="007775EF"/>
    <w:rsid w:val="00780D87"/>
    <w:rsid w:val="0079165F"/>
    <w:rsid w:val="007A51E0"/>
    <w:rsid w:val="007A6544"/>
    <w:rsid w:val="007A7FD3"/>
    <w:rsid w:val="007B2410"/>
    <w:rsid w:val="007C01D1"/>
    <w:rsid w:val="007C5705"/>
    <w:rsid w:val="007D13B8"/>
    <w:rsid w:val="007D529B"/>
    <w:rsid w:val="007D77CE"/>
    <w:rsid w:val="00802CDC"/>
    <w:rsid w:val="00803ECE"/>
    <w:rsid w:val="00805E1D"/>
    <w:rsid w:val="00813FEC"/>
    <w:rsid w:val="00814E29"/>
    <w:rsid w:val="00823C1E"/>
    <w:rsid w:val="00826D77"/>
    <w:rsid w:val="00827294"/>
    <w:rsid w:val="0083338D"/>
    <w:rsid w:val="008701AB"/>
    <w:rsid w:val="0087139A"/>
    <w:rsid w:val="00877798"/>
    <w:rsid w:val="008802DB"/>
    <w:rsid w:val="00881967"/>
    <w:rsid w:val="00885F48"/>
    <w:rsid w:val="00890F76"/>
    <w:rsid w:val="0089274E"/>
    <w:rsid w:val="0089403D"/>
    <w:rsid w:val="008A08FA"/>
    <w:rsid w:val="008E1146"/>
    <w:rsid w:val="008E70E5"/>
    <w:rsid w:val="008F50DB"/>
    <w:rsid w:val="008F5238"/>
    <w:rsid w:val="008F7723"/>
    <w:rsid w:val="00904BC8"/>
    <w:rsid w:val="00911248"/>
    <w:rsid w:val="00913A4E"/>
    <w:rsid w:val="00925F75"/>
    <w:rsid w:val="00941FB4"/>
    <w:rsid w:val="0094340F"/>
    <w:rsid w:val="00971108"/>
    <w:rsid w:val="0097410F"/>
    <w:rsid w:val="00974280"/>
    <w:rsid w:val="00974393"/>
    <w:rsid w:val="0097704C"/>
    <w:rsid w:val="00986E71"/>
    <w:rsid w:val="00991865"/>
    <w:rsid w:val="00992211"/>
    <w:rsid w:val="009942EB"/>
    <w:rsid w:val="009A1862"/>
    <w:rsid w:val="009A78E1"/>
    <w:rsid w:val="009A7FCF"/>
    <w:rsid w:val="009B548C"/>
    <w:rsid w:val="009D18B6"/>
    <w:rsid w:val="009E6F62"/>
    <w:rsid w:val="009E7F86"/>
    <w:rsid w:val="009F1030"/>
    <w:rsid w:val="009F1B6D"/>
    <w:rsid w:val="00A02039"/>
    <w:rsid w:val="00A04BD7"/>
    <w:rsid w:val="00A20EDD"/>
    <w:rsid w:val="00A212C7"/>
    <w:rsid w:val="00A23406"/>
    <w:rsid w:val="00A23AB4"/>
    <w:rsid w:val="00A27EDD"/>
    <w:rsid w:val="00A35D41"/>
    <w:rsid w:val="00A40953"/>
    <w:rsid w:val="00A44C88"/>
    <w:rsid w:val="00A459E3"/>
    <w:rsid w:val="00A53464"/>
    <w:rsid w:val="00A571FE"/>
    <w:rsid w:val="00A636AF"/>
    <w:rsid w:val="00A773EC"/>
    <w:rsid w:val="00A83D6A"/>
    <w:rsid w:val="00AA03DB"/>
    <w:rsid w:val="00AA164E"/>
    <w:rsid w:val="00AA3B2D"/>
    <w:rsid w:val="00AA7268"/>
    <w:rsid w:val="00AB0D6D"/>
    <w:rsid w:val="00AB68DD"/>
    <w:rsid w:val="00AC2B0B"/>
    <w:rsid w:val="00AD35D8"/>
    <w:rsid w:val="00AD6BB8"/>
    <w:rsid w:val="00AF6D19"/>
    <w:rsid w:val="00B018B8"/>
    <w:rsid w:val="00B1436F"/>
    <w:rsid w:val="00B17FDC"/>
    <w:rsid w:val="00B22148"/>
    <w:rsid w:val="00B2377E"/>
    <w:rsid w:val="00B25C4D"/>
    <w:rsid w:val="00B32A99"/>
    <w:rsid w:val="00B364E6"/>
    <w:rsid w:val="00B47F03"/>
    <w:rsid w:val="00B617C7"/>
    <w:rsid w:val="00B62010"/>
    <w:rsid w:val="00B6417D"/>
    <w:rsid w:val="00B712AC"/>
    <w:rsid w:val="00B82084"/>
    <w:rsid w:val="00B95E1A"/>
    <w:rsid w:val="00BA1376"/>
    <w:rsid w:val="00BB4808"/>
    <w:rsid w:val="00BD62E5"/>
    <w:rsid w:val="00BD715F"/>
    <w:rsid w:val="00BD7A11"/>
    <w:rsid w:val="00BE0134"/>
    <w:rsid w:val="00BE421E"/>
    <w:rsid w:val="00BE428E"/>
    <w:rsid w:val="00BE6A42"/>
    <w:rsid w:val="00BE72AA"/>
    <w:rsid w:val="00BF009A"/>
    <w:rsid w:val="00BF2167"/>
    <w:rsid w:val="00BF4E21"/>
    <w:rsid w:val="00BF6AB5"/>
    <w:rsid w:val="00C03182"/>
    <w:rsid w:val="00C10C97"/>
    <w:rsid w:val="00C41CE2"/>
    <w:rsid w:val="00C452E4"/>
    <w:rsid w:val="00C53D36"/>
    <w:rsid w:val="00C57E0D"/>
    <w:rsid w:val="00C616FC"/>
    <w:rsid w:val="00C636EE"/>
    <w:rsid w:val="00C672E3"/>
    <w:rsid w:val="00C7181C"/>
    <w:rsid w:val="00C73C73"/>
    <w:rsid w:val="00C748B2"/>
    <w:rsid w:val="00C75F27"/>
    <w:rsid w:val="00C76A21"/>
    <w:rsid w:val="00C85299"/>
    <w:rsid w:val="00C85BE4"/>
    <w:rsid w:val="00C865F7"/>
    <w:rsid w:val="00CA3B61"/>
    <w:rsid w:val="00CA6F62"/>
    <w:rsid w:val="00CB05CD"/>
    <w:rsid w:val="00CB268F"/>
    <w:rsid w:val="00CC5C8E"/>
    <w:rsid w:val="00CD046D"/>
    <w:rsid w:val="00CD15F8"/>
    <w:rsid w:val="00CD207F"/>
    <w:rsid w:val="00CE30FF"/>
    <w:rsid w:val="00CE4E73"/>
    <w:rsid w:val="00CF0128"/>
    <w:rsid w:val="00CF0812"/>
    <w:rsid w:val="00CF1F59"/>
    <w:rsid w:val="00CF245A"/>
    <w:rsid w:val="00CF41FE"/>
    <w:rsid w:val="00CF4321"/>
    <w:rsid w:val="00CF5E94"/>
    <w:rsid w:val="00CF7BE1"/>
    <w:rsid w:val="00D0443A"/>
    <w:rsid w:val="00D07F94"/>
    <w:rsid w:val="00D1130C"/>
    <w:rsid w:val="00D16667"/>
    <w:rsid w:val="00D16B69"/>
    <w:rsid w:val="00D21DEB"/>
    <w:rsid w:val="00D3514F"/>
    <w:rsid w:val="00D5052C"/>
    <w:rsid w:val="00D6266A"/>
    <w:rsid w:val="00D81223"/>
    <w:rsid w:val="00D860D5"/>
    <w:rsid w:val="00D902BF"/>
    <w:rsid w:val="00D91F48"/>
    <w:rsid w:val="00D97443"/>
    <w:rsid w:val="00DB1764"/>
    <w:rsid w:val="00DB2440"/>
    <w:rsid w:val="00DB3C8A"/>
    <w:rsid w:val="00DB5F18"/>
    <w:rsid w:val="00DC5F89"/>
    <w:rsid w:val="00DD0C51"/>
    <w:rsid w:val="00DD7AE6"/>
    <w:rsid w:val="00E06E17"/>
    <w:rsid w:val="00E11578"/>
    <w:rsid w:val="00E2376E"/>
    <w:rsid w:val="00E25C09"/>
    <w:rsid w:val="00E35402"/>
    <w:rsid w:val="00E379EC"/>
    <w:rsid w:val="00E42D97"/>
    <w:rsid w:val="00E42DA2"/>
    <w:rsid w:val="00E47E0D"/>
    <w:rsid w:val="00E526C3"/>
    <w:rsid w:val="00E56A87"/>
    <w:rsid w:val="00E56E52"/>
    <w:rsid w:val="00E854B0"/>
    <w:rsid w:val="00E9403C"/>
    <w:rsid w:val="00E956E5"/>
    <w:rsid w:val="00E95DF8"/>
    <w:rsid w:val="00E97496"/>
    <w:rsid w:val="00EB642C"/>
    <w:rsid w:val="00EB67B5"/>
    <w:rsid w:val="00EB6A82"/>
    <w:rsid w:val="00EB79DB"/>
    <w:rsid w:val="00EE1F86"/>
    <w:rsid w:val="00EE4190"/>
    <w:rsid w:val="00F01156"/>
    <w:rsid w:val="00F04A75"/>
    <w:rsid w:val="00F11389"/>
    <w:rsid w:val="00F11CAA"/>
    <w:rsid w:val="00F14865"/>
    <w:rsid w:val="00F2565B"/>
    <w:rsid w:val="00F3114F"/>
    <w:rsid w:val="00F3147A"/>
    <w:rsid w:val="00F318E6"/>
    <w:rsid w:val="00F31FF1"/>
    <w:rsid w:val="00F347B6"/>
    <w:rsid w:val="00F37571"/>
    <w:rsid w:val="00F44A15"/>
    <w:rsid w:val="00F4779A"/>
    <w:rsid w:val="00F64D94"/>
    <w:rsid w:val="00F70562"/>
    <w:rsid w:val="00F744B5"/>
    <w:rsid w:val="00F74986"/>
    <w:rsid w:val="00F845F5"/>
    <w:rsid w:val="00F84788"/>
    <w:rsid w:val="00F865EA"/>
    <w:rsid w:val="00F90AF4"/>
    <w:rsid w:val="00F92C7B"/>
    <w:rsid w:val="00F9667A"/>
    <w:rsid w:val="00FA21BD"/>
    <w:rsid w:val="00FB46C7"/>
    <w:rsid w:val="00FC2B5F"/>
    <w:rsid w:val="00FD0009"/>
    <w:rsid w:val="00FD51B5"/>
    <w:rsid w:val="00FF1DB7"/>
    <w:rsid w:val="00FF402A"/>
    <w:rsid w:val="00FF67A1"/>
    <w:rsid w:val="00FF690A"/>
    <w:rsid w:val="014B5C7C"/>
    <w:rsid w:val="019C5A24"/>
    <w:rsid w:val="03681C30"/>
    <w:rsid w:val="04BE31CF"/>
    <w:rsid w:val="101126FB"/>
    <w:rsid w:val="13DD182C"/>
    <w:rsid w:val="1E68552E"/>
    <w:rsid w:val="1F9E1891"/>
    <w:rsid w:val="2A805FE5"/>
    <w:rsid w:val="350A1AC5"/>
    <w:rsid w:val="3F4E515C"/>
    <w:rsid w:val="3FB65FCC"/>
    <w:rsid w:val="460C43AB"/>
    <w:rsid w:val="5E013299"/>
    <w:rsid w:val="6D72573D"/>
    <w:rsid w:val="786C02C8"/>
    <w:rsid w:val="7C7702C8"/>
    <w:rsid w:val="7E376F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58042852"/>
  <w15:docId w15:val="{99ED0AEB-4011-4A19-AE98-8482ADEB6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customStyle="1" w:styleId="a4">
    <w:name w:val="批注框文本 字符"/>
    <w:basedOn w:val="a0"/>
    <w:link w:val="a5"/>
    <w:rPr>
      <w:kern w:val="2"/>
      <w:sz w:val="18"/>
      <w:szCs w:val="18"/>
    </w:rPr>
  </w:style>
  <w:style w:type="character" w:customStyle="1" w:styleId="a6">
    <w:name w:val="纯文本 字符"/>
    <w:basedOn w:val="a0"/>
    <w:link w:val="a7"/>
    <w:uiPriority w:val="99"/>
    <w:qFormat/>
    <w:rPr>
      <w:rFonts w:ascii="宋体" w:hAnsi="Courier New" w:cs="Courier New"/>
      <w:kern w:val="2"/>
      <w:sz w:val="21"/>
      <w:szCs w:val="21"/>
    </w:rPr>
  </w:style>
  <w:style w:type="character" w:customStyle="1" w:styleId="a8">
    <w:name w:val="页眉 字符"/>
    <w:basedOn w:val="a0"/>
    <w:link w:val="a9"/>
    <w:qFormat/>
    <w:rPr>
      <w:kern w:val="2"/>
      <w:sz w:val="18"/>
      <w:szCs w:val="18"/>
    </w:rPr>
  </w:style>
  <w:style w:type="paragraph" w:styleId="a7">
    <w:name w:val="Plain Text"/>
    <w:basedOn w:val="a"/>
    <w:link w:val="a6"/>
    <w:uiPriority w:val="99"/>
    <w:rPr>
      <w:rFonts w:ascii="宋体" w:hAnsi="Courier New" w:cs="Courier New"/>
      <w:szCs w:val="21"/>
    </w:rPr>
  </w:style>
  <w:style w:type="paragraph" w:styleId="a9">
    <w:name w:val="header"/>
    <w:basedOn w:val="a"/>
    <w:link w:val="a8"/>
    <w:pPr>
      <w:pBdr>
        <w:bottom w:val="single" w:sz="6" w:space="1" w:color="auto"/>
      </w:pBdr>
      <w:tabs>
        <w:tab w:val="center" w:pos="4153"/>
        <w:tab w:val="right" w:pos="8306"/>
      </w:tabs>
      <w:snapToGrid w:val="0"/>
      <w:jc w:val="center"/>
    </w:pPr>
    <w:rPr>
      <w:sz w:val="18"/>
      <w:szCs w:val="18"/>
    </w:rPr>
  </w:style>
  <w:style w:type="paragraph" w:styleId="aa">
    <w:name w:val="footer"/>
    <w:basedOn w:val="a"/>
    <w:pPr>
      <w:tabs>
        <w:tab w:val="center" w:pos="4153"/>
        <w:tab w:val="right" w:pos="8306"/>
      </w:tabs>
      <w:snapToGrid w:val="0"/>
      <w:jc w:val="left"/>
    </w:pPr>
    <w:rPr>
      <w:sz w:val="18"/>
      <w:szCs w:val="18"/>
    </w:rPr>
  </w:style>
  <w:style w:type="paragraph" w:styleId="a5">
    <w:name w:val="Balloon Text"/>
    <w:basedOn w:val="a"/>
    <w:link w:val="a4"/>
    <w:qFormat/>
    <w:rPr>
      <w:sz w:val="18"/>
      <w:szCs w:val="18"/>
    </w:rPr>
  </w:style>
  <w:style w:type="paragraph" w:customStyle="1" w:styleId="ParaCharCharCharCharCharCharChar">
    <w:name w:val="默认段落字体 Para Char Char Char Char Char Char Char"/>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166</Words>
  <Characters>947</Characters>
  <Application>Microsoft Office Word</Application>
  <DocSecurity>0</DocSecurity>
  <Lines>7</Lines>
  <Paragraphs>2</Paragraphs>
  <ScaleCrop>false</ScaleCrop>
  <Company>Lenovo (Beijing) Limited</Company>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高人民法院、最高人民检察院关于废止1980年1月1日至1997年6月30日期间制发的部分司法解释和司法解释性质文件的决定》已于2012年11月19日由最高人民法院审判委员会第1560次会议、2012年12月19日由最高人民检察院第十一届检察委员会第83次会议通过，现予公布，自2013年1月18日起施行</dc:title>
  <dc:creator>Lenovo User</dc:creator>
  <cp:lastModifiedBy>Zhanglb</cp:lastModifiedBy>
  <cp:revision>4</cp:revision>
  <cp:lastPrinted>2014-04-03T09:04:00Z</cp:lastPrinted>
  <dcterms:created xsi:type="dcterms:W3CDTF">2023-10-28T04:25:00Z</dcterms:created>
  <dcterms:modified xsi:type="dcterms:W3CDTF">2025-09-15T01:15:00Z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